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17A78" w:rsidR="00EA7CFD" w:rsidP="00017A78" w:rsidRDefault="00061DF7">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 xml:space="preserve">Klimata politikas simulācija: tradicionālā energoapgāde</w:t>
      </w:r>
    </w:p>
    <w:p w:rsidRPr="00017A78" w:rsidR="0010014B" w:rsidP="00017A78" w:rsidRDefault="0010014B">
      <w:pPr>
        <w:pStyle w:val="Bodytext30"/>
        <w:widowControl/>
        <w:shd w:val="clear" w:color="auto" w:fill="auto"/>
        <w:spacing w:after="38" w:line="240" w:lineRule="auto"/>
        <w:rPr>
          <w:rFonts w:ascii="Times New Roman" w:hAnsi="Times New Roman" w:cs="Times New Roman"/>
          <w:lang w:val="en-GB"/>
        </w:rPr>
      </w:pPr>
    </w:p>
    <w:p w:rsidRPr="00017A78" w:rsidR="00EA7CFD" w:rsidP="00017A78" w:rsidRDefault="00061DF7">
      <w:pPr>
        <w:pStyle w:val="Bodytext40"/>
        <w:widowControl/>
        <w:shd w:val="clear" w:color="auto" w:fill="auto"/>
        <w:tabs>
          <w:tab w:val="left" w:pos="1440"/>
        </w:tabs>
        <w:spacing w:line="240" w:lineRule="auto"/>
      </w:pPr>
      <w:r>
        <w:t xml:space="preserve">Adresāts:</w:t>
      </w:r>
      <w:r>
        <w:tab/>
      </w:r>
      <w:r>
        <w:t xml:space="preserve">Sarunu vadītāji, kas pārstāv tradicionālās energoapgādes nozari</w:t>
      </w:r>
    </w:p>
    <w:p w:rsidRPr="00017A78" w:rsidR="00EA7CFD" w:rsidP="00017A78" w:rsidRDefault="00061DF7">
      <w:pPr>
        <w:pStyle w:val="Bodytext40"/>
        <w:widowControl/>
        <w:shd w:val="clear" w:color="auto" w:fill="auto"/>
        <w:tabs>
          <w:tab w:val="left" w:pos="1440"/>
        </w:tabs>
        <w:spacing w:after="120" w:line="240" w:lineRule="auto"/>
      </w:pPr>
      <w:r>
        <w:t xml:space="preserve">Temats:</w:t>
      </w:r>
      <w:r>
        <w:tab/>
      </w:r>
      <w:r>
        <w:t xml:space="preserve">Gatavošanās samitam par klimata politiku</w:t>
      </w:r>
    </w:p>
    <w:p w:rsidRPr="00017A78" w:rsidR="00EA7CFD" w:rsidP="00017A78" w:rsidRDefault="00061DF7">
      <w:pPr>
        <w:pStyle w:val="Bodytext20"/>
        <w:widowControl/>
        <w:shd w:val="clear" w:color="auto" w:fill="auto"/>
        <w:spacing w:before="0" w:after="120" w:line="240" w:lineRule="auto"/>
        <w:ind w:firstLine="0"/>
        <w:jc w:val="both"/>
      </w:pPr>
      <w:r>
        <w:t xml:space="preserve">Esiet sveicināti samitā par klimata politiku!</w:t>
      </w:r>
      <w:r>
        <w:t xml:space="preserve"> </w:t>
      </w:r>
      <w:r>
        <w:t xml:space="preserve">Jūs un visu ieinteresēto grupu vadītāji esat saņēmusi ANO ģenerālsekretāra uzaicinājumu sadarboties, lai sekmīgi risinātu klimata pārmaiņu jautājumu.</w:t>
      </w:r>
      <w:r>
        <w:t xml:space="preserve"> </w:t>
      </w:r>
      <w:r>
        <w:t xml:space="preserve">Ielūgumā ģenerālsekretārs </w:t>
      </w:r>
      <w:r>
        <w:rPr>
          <w:rStyle w:val="Bodytext21"/>
        </w:rPr>
        <w:t xml:space="preserve">ir norādījis</w:t>
      </w:r>
      <w:r>
        <w:t xml:space="preserve">: “Ārkārtas stāvoklis klimata jomā ir sacensība, kurā mēs šobrīd zaudējam, bet kurā mēs vēl varam uzvarēt (..). </w:t>
      </w:r>
      <w:r>
        <w:t xml:space="preserve"> </w:t>
      </w:r>
      <w:r>
        <w:t xml:space="preserve">Nopietni zinātniski pētījumi (..) liecina, ka temperatūras paaugstināšanās par vairāk nekā 1,5°C nodarīs milzīgu un neatgriezenisku kaitējumu ekosistēmām, kas mūs uztur(..).</w:t>
      </w:r>
      <w:r>
        <w:t xml:space="preserve"> </w:t>
      </w:r>
      <w:r>
        <w:t xml:space="preserve">Taču, pēc zinātnieku domām, vēl nav par vēlu.</w:t>
      </w:r>
    </w:p>
    <w:p w:rsidRPr="00017A78" w:rsidR="00EA7CFD" w:rsidP="00017A78" w:rsidRDefault="00061DF7">
      <w:pPr>
        <w:pStyle w:val="Bodytext20"/>
        <w:widowControl/>
        <w:shd w:val="clear" w:color="auto" w:fill="auto"/>
        <w:spacing w:before="0" w:after="120" w:line="240" w:lineRule="auto"/>
        <w:ind w:firstLine="0"/>
        <w:jc w:val="both"/>
      </w:pPr>
      <w:r>
        <w:t xml:space="preserve">Mēs to varam (..).Taču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017A78" w:rsidR="00EA7CFD" w:rsidP="00017A78" w:rsidRDefault="00061DF7">
      <w:pPr>
        <w:pStyle w:val="Bodytext20"/>
        <w:widowControl/>
        <w:shd w:val="clear" w:color="auto" w:fill="auto"/>
        <w:spacing w:before="0" w:after="120" w:line="240" w:lineRule="auto"/>
        <w:ind w:firstLine="0"/>
        <w:jc w:val="both"/>
      </w:pPr>
      <w:r>
        <w:t xml:space="preserve">Samita mērķis ir izstrādāt plānu, kā ierobežot globālo sasilšanu, lai tā nepārsniegtu 2°C [3,6°F] salīdzinājumā ar pirmsindustriālā laikmeta līmeni, un censties panākt, lai tā nepārsniedz 1,5°C [2,7°F], proti, starptautiskos mērķus, kas ir oficiāli atzīti Parīzes nolīgumā par klimata pārmaiņām.</w:t>
      </w:r>
      <w:r>
        <w:t xml:space="preserve"> </w:t>
      </w:r>
      <w:r>
        <w:rPr>
          <w:rStyle w:val="Bodytext21"/>
        </w:rPr>
        <w:t xml:space="preserve">Zinātniskie pierādījumi</w:t>
      </w:r>
      <w:r>
        <w:t xml:space="preserve"> ir nepārprotami: sasilšana, kas pārsniedz minētās robežas, radīs katastrofālu un neatgriezenisku ietekmi, kura apdraudēs visu pasaules valstu iedzīvotāju veselību, labklājību un pat dzīvību.</w:t>
      </w:r>
    </w:p>
    <w:p w:rsidRPr="00017A78" w:rsidR="00EA7CFD" w:rsidP="00017A78" w:rsidRDefault="00061DF7">
      <w:pPr>
        <w:pStyle w:val="Bodytext20"/>
        <w:widowControl/>
        <w:shd w:val="clear" w:color="auto" w:fill="auto"/>
        <w:spacing w:before="0" w:after="120" w:line="240" w:lineRule="auto"/>
        <w:ind w:firstLine="0"/>
        <w:jc w:val="both"/>
      </w:pPr>
      <w:r>
        <w:t xml:space="preserve">Jūs pārstāvat ogļu, naftas, dabasgāzes, kodolenerģijas un elektroenerģijas piegādes nozari, kas mūsdienās piegādā lielāko daļu pasaules enerģijas.</w:t>
      </w:r>
      <w:r>
        <w:t xml:space="preserve"> </w:t>
      </w:r>
      <w:r>
        <w:t xml:space="preserve">Jūsu grupā ietilpst biržā kotēti un valstīm piederoši naftas un gāzes uzņēmumi, ogļu nozares uzņēmumi, elektroenerģijas piegādātāji, kas atkarīgi no fosilā kurināmā, un uzņēmumi, kuri sniedz pakalpojumus un nodrošina iekārtas šīm nozarēm.</w:t>
      </w:r>
    </w:p>
    <w:p w:rsidRPr="00017A78" w:rsidR="00EA7CFD" w:rsidP="00017A78" w:rsidRDefault="00061DF7">
      <w:pPr>
        <w:pStyle w:val="Bodytext20"/>
        <w:widowControl/>
        <w:shd w:val="clear" w:color="auto" w:fill="auto"/>
        <w:spacing w:before="0" w:after="120" w:line="240" w:lineRule="auto"/>
        <w:ind w:firstLine="0"/>
        <w:jc w:val="both"/>
      </w:pPr>
      <w:r>
        <w:t xml:space="preserve">Tālāk norādītas jūsu politikas prioritātes.</w:t>
      </w:r>
      <w:r>
        <w:t xml:space="preserve"> </w:t>
      </w:r>
      <w:r>
        <w:t xml:space="preserve">Jūs varat gan ierosināt, gan bloķēt jebkuru citu politikas pasākumu.</w:t>
      </w:r>
    </w:p>
    <w:p w:rsidRPr="00017A78" w:rsidR="00EA7CFD" w:rsidP="00017A78" w:rsidRDefault="00061DF7">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Neatbalstīt augstu oglekļa cenu.</w:t>
      </w:r>
      <w:r>
        <w:rPr>
          <w:rStyle w:val="Bodytext2Bold"/>
        </w:rPr>
        <w:t xml:space="preserve"> </w:t>
      </w:r>
      <w:r>
        <w:t xml:space="preserve">Jūsu ekonomisti atzīst, ka fosilā kurināmā cenas paaugstināšana, kurā atspoguļotos siltumnīcefekta gāzu (SEG) emisiju radītās ekoloģiskās un sociālās izmaksas, varētu būt labākais risinājums, kā samazināt emisijas pasaulē.</w:t>
      </w:r>
      <w:r>
        <w:t xml:space="preserve"> </w:t>
      </w:r>
      <w:r>
        <w:t xml:space="preserve">Tomēr oglekļa cena, kas ir augstāka nekā 25–30 USD par CO</w:t>
      </w:r>
      <w:r>
        <w:rPr>
          <w:vertAlign w:val="subscript"/>
        </w:rPr>
        <w:t xml:space="preserve">2</w:t>
      </w:r>
      <w:r>
        <w:t xml:space="preserve"> tonnu, nepieņemami kaitēs fosilā kurināmā ražošanas nozarei, jo palielināsies izmaksas un samazināsies pieprasījums, un tādēļ radīsies balasta aktīvi un samazināsies akcionāriem piederošo uzņēmumu vērtība.</w:t>
      </w:r>
      <w:r>
        <w:t xml:space="preserve"> </w:t>
      </w:r>
      <w:r>
        <w:t xml:space="preserve">Kaut arī daži naftas uzņēmumi publiski apgalvo, ka atbalsta CO</w:t>
      </w:r>
      <w:r>
        <w:rPr>
          <w:vertAlign w:val="subscript"/>
        </w:rPr>
        <w:t xml:space="preserve">2</w:t>
      </w:r>
      <w:r>
        <w:t xml:space="preserve"> cenu, jūsu nozare turpina finansēt politiķus, kuri pret to iebilst un bloķē rīcību.</w:t>
      </w:r>
      <w:r>
        <w:t xml:space="preserve"> </w:t>
      </w:r>
      <w:r>
        <w:t xml:space="preserve">Jūs zināt, ka citas grupas izdarīs uz jums spiedienu, lai panāktu oglekļa cenas ieviešanu.</w:t>
      </w:r>
      <w:r>
        <w:t xml:space="preserve"> </w:t>
      </w:r>
      <w:r>
        <w:t xml:space="preserve">Stingri iebilstiet pret šādiem politikas pasākumiem.</w:t>
      </w:r>
    </w:p>
    <w:p w:rsidRPr="00017A78" w:rsidR="00EA7CFD" w:rsidP="00017A78" w:rsidRDefault="00061DF7">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Neatbalstīt fosilā kurināmā aplikšanu ar nodokļiem.</w:t>
      </w:r>
      <w:r>
        <w:rPr>
          <w:rStyle w:val="Bodytext2Bold"/>
        </w:rPr>
        <w:t xml:space="preserve"> </w:t>
      </w:r>
      <w:r>
        <w:t xml:space="preserve">Jūsu nozare nevēlas nedz to, ka jūsu darbība tiek regulēta, nedz segt klimata pārmaiņu ierobežošanas izmaksas.</w:t>
      </w:r>
      <w:r>
        <w:t xml:space="preserve"> </w:t>
      </w:r>
      <w:r>
        <w:t xml:space="preserve">Tā kā jūs jau prognozējat ievērojamus zaudējumus, jo nākamajā gadsimtā pasaule pakāpeniski atteiksies no fosilā kurināmā, jūs nevarat segt papildu izmaksas, kuras netaisnīgi kaitēs jūsu nozarei.</w:t>
      </w:r>
      <w:r>
        <w:t xml:space="preserve"> </w:t>
      </w:r>
      <w:r>
        <w:t xml:space="preserve">Patiesībā jūs varat lūgt subsīdijas dabasgāzei, ko jūs slavējat kā pārejas posma kurināmo, jo tā ir mazāk oglekļietilpīga nekā ogles un nafta.</w:t>
      </w:r>
      <w:r>
        <w:t xml:space="preserve"> </w:t>
      </w:r>
      <w:r>
        <w:t xml:space="preserve">Ja regulējums ir nenovēršams, labāk ierobežot ogļu izmantošanu nekā naftas un gāzes izmantošanu.</w:t>
      </w:r>
      <w:r>
        <w:t xml:space="preserve"> </w:t>
      </w:r>
      <w:r>
        <w:t xml:space="preserve">Ogļu dedzināšana rada visvairāk oglekļa emisiju, un ogles nav tik rentablas kā nafta un gāze.</w:t>
      </w:r>
    </w:p>
    <w:p w:rsidRPr="00017A78" w:rsidR="00934588" w:rsidP="00017A78" w:rsidRDefault="00934588">
      <w:pPr>
        <w:pStyle w:val="Bodytext20"/>
        <w:widowControl/>
        <w:numPr>
          <w:ilvl w:val="0"/>
          <w:numId w:val="1"/>
        </w:numPr>
        <w:shd w:val="clear" w:color="auto" w:fill="auto"/>
        <w:spacing w:before="0" w:after="120" w:line="240" w:lineRule="auto"/>
        <w:ind w:left="400" w:right="-1"/>
        <w:jc w:val="both"/>
      </w:pPr>
      <w:r>
        <w:rPr>
          <w:b/>
        </w:rPr>
        <w:t xml:space="preserve">Atbalstīt jaunas tehnoloģijas (tostarp CO</w:t>
      </w:r>
      <w:r>
        <w:rPr>
          <w:b/>
          <w:vertAlign w:val="subscript"/>
        </w:rPr>
        <w:t xml:space="preserve">2</w:t>
      </w:r>
      <w:r>
        <w:rPr>
          <w:b/>
        </w:rPr>
        <w:t xml:space="preserve"> atdalīšanu, CO</w:t>
      </w:r>
      <w:r>
        <w:rPr>
          <w:b/>
          <w:vertAlign w:val="subscript"/>
        </w:rPr>
        <w:t xml:space="preserve">2</w:t>
      </w:r>
      <w:r>
        <w:rPr>
          <w:b/>
        </w:rPr>
        <w:t xml:space="preserve"> uztveršanu un uzglabāšanu, kā arī biodegvielu izmantošanu).</w:t>
      </w:r>
    </w:p>
    <w:p w:rsidRPr="00F534AB" w:rsidR="00EA7CFD" w:rsidP="00017A78" w:rsidRDefault="00061DF7">
      <w:pPr>
        <w:pStyle w:val="Bodytext20"/>
        <w:widowControl/>
        <w:shd w:val="clear" w:color="auto" w:fill="auto"/>
        <w:spacing w:before="0" w:after="120" w:line="240" w:lineRule="auto"/>
        <w:ind w:left="400" w:firstLine="0"/>
        <w:jc w:val="both"/>
      </w:pPr>
      <w:r>
        <w:t xml:space="preserve">Jūsu nozare atbalsta plašāku dabasgāzes un biodegvielas izmantošanu, kā arī pētījumus, kuru mērķis ir izstrādāt CO</w:t>
      </w:r>
      <w:r>
        <w:rPr>
          <w:vertAlign w:val="subscript"/>
        </w:rPr>
        <w:t xml:space="preserve">2</w:t>
      </w:r>
      <w:r>
        <w:t xml:space="preserve"> atdalīšanas tehnoloģiju, kas dod iespēju to atdalīt no atmosfēras un uzglabāt pazemē.</w:t>
      </w:r>
      <w:r>
        <w:rPr>
          <w:sz w:val="18"/>
          <w:szCs w:val="18"/>
          <w:i/>
          <w:iCs/>
        </w:rPr>
        <w:t xml:space="preserve"> </w:t>
      </w:r>
      <w:r>
        <w:rPr>
          <w:sz w:val="18"/>
          <w:szCs w:val="18"/>
          <w:i/>
          <w:iCs/>
        </w:rPr>
        <w:t xml:space="preserve">Jūsu īpašās zināšanas lielu tehnisku projektu īstenošanā, kā arī degvielas transportēšanas un ģeoloģijas jomā var tikt izmantotas saistībā ar šīm degvielām un nozarēm.</w:t>
      </w:r>
      <w:r>
        <w:rPr>
          <w:sz w:val="18"/>
          <w:szCs w:val="18"/>
          <w:i/>
          <w:iCs/>
        </w:rPr>
        <w:t xml:space="preserve"> </w:t>
      </w:r>
      <w:r>
        <w:rPr>
          <w:sz w:val="18"/>
          <w:szCs w:val="18"/>
          <w:i/>
          <w:iCs/>
        </w:rPr>
        <w:t xml:space="preserve">Jūs arī atbalstāt CO</w:t>
      </w:r>
      <w:r>
        <w:rPr>
          <w:sz w:val="18"/>
          <w:szCs w:val="18"/>
          <w:i/>
          <w:iCs/>
          <w:vertAlign w:val="subscript"/>
        </w:rPr>
        <w:t xml:space="preserve">2</w:t>
      </w:r>
      <w:r>
        <w:rPr>
          <w:sz w:val="18"/>
          <w:szCs w:val="18"/>
          <w:i/>
          <w:iCs/>
        </w:rPr>
        <w:t xml:space="preserve"> uztveršanas un uzglabāšanas metodi, ko lieto ogļu elektrostacijās un citās spēkstacijās, un šīs metodes izmantošanu biodegvielas ražošanā.</w:t>
      </w:r>
      <w:r>
        <w:rPr>
          <w:sz w:val="18"/>
          <w:szCs w:val="18"/>
          <w:i/>
          <w:iCs/>
        </w:rPr>
        <w:t xml:space="preserve"> </w:t>
      </w:r>
      <w:r>
        <w:rPr>
          <w:i/>
          <w:iCs/>
          <w:sz w:val="18"/>
          <w:szCs w:val="18"/>
        </w:rPr>
        <w:t xml:space="preserve">Ar CO</w:t>
      </w:r>
      <w:r>
        <w:rPr>
          <w:i/>
          <w:iCs/>
          <w:sz w:val="18"/>
          <w:szCs w:val="18"/>
          <w:vertAlign w:val="subscript"/>
        </w:rPr>
        <w:t xml:space="preserve">2</w:t>
      </w:r>
      <w:r>
        <w:rPr>
          <w:i/>
          <w:iCs/>
          <w:sz w:val="18"/>
          <w:szCs w:val="18"/>
        </w:rPr>
        <w:t xml:space="preserve"> uztveršanas un uzglabāšanas metodi varētu </w:t>
      </w:r>
      <w:r>
        <w:rPr>
          <w:sz w:val="18"/>
          <w:szCs w:val="18"/>
        </w:rPr>
        <w:t xml:space="preserve"> </w:t>
      </w:r>
      <w:r>
        <w:rPr>
          <w:sz w:val="18"/>
          <w:szCs w:val="18"/>
          <w:i/>
          <w:iCs/>
          <w:rFonts w:ascii="Arial" w:hAnsi="Arial"/>
        </w:rPr>
        <w:t xml:space="preserve">uztvert 90 % no CO</w:t>
      </w:r>
      <w:r>
        <w:rPr>
          <w:sz w:val="18"/>
          <w:szCs w:val="18"/>
          <w:vertAlign w:val="subscript"/>
        </w:rPr>
        <w:t xml:space="preserve">2</w:t>
      </w:r>
      <w:r>
        <w:rPr>
          <w:sz w:val="18"/>
          <w:szCs w:val="18"/>
        </w:rPr>
        <w:t xml:space="preserve"> </w:t>
      </w:r>
      <w:r>
        <w:rPr>
          <w:i/>
          <w:iCs/>
          <w:sz w:val="18"/>
          <w:szCs w:val="18"/>
          <w:rFonts w:ascii="Arial" w:hAnsi="Arial"/>
        </w:rPr>
        <w:t xml:space="preserve">emisijām, ko rada</w:t>
      </w:r>
      <w:r>
        <w:t xml:space="preserve"> fosilā kurināmā sadedzināšana elektrostacijās un rūpnieciskajos procesos.</w:t>
      </w:r>
      <w:r>
        <w:t xml:space="preserve"> </w:t>
      </w:r>
      <w:r>
        <w:t xml:space="preserve">Pēc tam oglekļa dioksīdu var sašķidrināt un iesūknēt pazemē, lai palielinātu naftas un gāzes ieguvi, vai izraudzīties ne tik rentablu risinājumu, kas ir CO</w:t>
      </w:r>
      <w:r>
        <w:rPr>
          <w:vertAlign w:val="subscript"/>
        </w:rPr>
        <w:t xml:space="preserve">2</w:t>
      </w:r>
      <w:r>
        <w:t xml:space="preserve"> iesūknēšana, jūsuprāt, stabilos ģeoloģiskos rezervuāros.</w:t>
      </w:r>
      <w:r>
        <w:t xml:space="preserve"> </w:t>
      </w:r>
      <w:r>
        <w:t xml:space="preserve">Oglekļa dioksīda atdalīšanas tehnoloģija, ja tā kļūtu izmantojama un izmaksu ziņā konkurētspējīga, dotu labumu jūsu nozarei, jo oglekļa dioksīdu varētu atdalīt no atmosfēras un tādā veidā kompensēt emisijas, ko rada fosilā kurināmā nepārtraukta izmantošana.</w:t>
      </w:r>
    </w:p>
    <w:p w:rsidRPr="00941B40" w:rsidR="00EA7CFD" w:rsidP="00017A78" w:rsidRDefault="00061DF7">
      <w:pPr>
        <w:pStyle w:val="Bodytext20"/>
        <w:widowControl/>
        <w:numPr>
          <w:ilvl w:val="0"/>
          <w:numId w:val="1"/>
        </w:numPr>
        <w:shd w:val="clear" w:color="auto" w:fill="auto"/>
        <w:spacing w:before="0" w:after="120" w:line="240" w:lineRule="auto"/>
        <w:ind w:left="400" w:right="-1"/>
        <w:jc w:val="both"/>
      </w:pPr>
      <w:r>
        <w:rPr>
          <w:b/>
        </w:rPr>
        <w:t xml:space="preserve">Atbalstīt pasākumus, kas jūsu nozari neietekmē tieši.</w:t>
      </w:r>
      <w:r>
        <w:t xml:space="preserve"> </w:t>
      </w:r>
      <w:r>
        <w:t xml:space="preserve">Jūs izprotat klimata pārmaiņu bīstamību, taču jums arī jāsargā akcionāriem piederošo uzņēmumu vērtība.</w:t>
      </w:r>
      <w:r>
        <w:t xml:space="preserve"> </w:t>
      </w:r>
      <w:r>
        <w:t xml:space="preserve">Tāpēc jūs atbalstāt politikas pasākumus, kas varētu samazināt SEG emisijas, nemazinot fosilā kurināmā izmantošanu.</w:t>
      </w:r>
      <w:r>
        <w:t xml:space="preserve"> </w:t>
      </w:r>
      <w:r>
        <w:t xml:space="preserve">Klimata pārmaiņas visvairāk veicina oglekļa dioksīds, kurš izdalās fosilā kurināmā izmantošanas procesā, taču arvien lielāka ietekme ir arī citām gāzēm, tostarp metānam (CH</w:t>
      </w:r>
      <w:r>
        <w:rPr>
          <w:vertAlign w:val="subscript"/>
        </w:rPr>
        <w:t xml:space="preserve">4</w:t>
      </w:r>
      <w:r>
        <w:t xml:space="preserve">) un slāpekļa oksīdam (N</w:t>
      </w:r>
      <w:r>
        <w:rPr>
          <w:vertAlign w:val="subscript"/>
        </w:rPr>
        <w:t xml:space="preserve">2</w:t>
      </w:r>
      <w:r>
        <w:t xml:space="preserve">O), kas ir spēcīgas siltumnīcefekta gāzes.</w:t>
      </w:r>
      <w:r>
        <w:t xml:space="preserve"> </w:t>
      </w:r>
      <w:r>
        <w:t xml:space="preserve">Pasaulē izmantotās lauksaimniecības un mežsaimniecības metodes ir lielā mērā vainojamas šo gāzu emisijā.</w:t>
      </w:r>
      <w:r>
        <w:t xml:space="preserve"> </w:t>
      </w:r>
      <w:r>
        <w:t xml:space="preserve">Jūs atbalstāt politikas pasākumus, kuru mērķis ir samazināt šo citu SEG emisijas, galvenokārt tās, ko rada zemes izmantošana, lauksaimniecība un mežsaimniecība.</w:t>
      </w:r>
      <w:r>
        <w:t xml:space="preserve"> </w:t>
      </w:r>
      <w:r>
        <w:t xml:space="preserve">Jūs atbalstāt centienus samazināt mežu izciršanu un apmežot degradētas un atmežotas zemes platības.</w:t>
      </w:r>
    </w:p>
    <w:p w:rsidRPr="00017A78" w:rsidR="00EA7CFD" w:rsidP="00017A78" w:rsidRDefault="00061DF7">
      <w:pPr>
        <w:pStyle w:val="Bodytext60"/>
        <w:widowControl/>
        <w:shd w:val="clear" w:color="auto" w:fill="auto"/>
        <w:spacing w:before="0" w:after="120" w:line="240" w:lineRule="auto"/>
      </w:pPr>
      <w:r>
        <w:t xml:space="preserve">Papildu apsvērumi</w:t>
      </w:r>
    </w:p>
    <w:p w:rsidRPr="00017A78" w:rsidR="00EA7CFD" w:rsidP="00017A78" w:rsidRDefault="00061DF7">
      <w:pPr>
        <w:pStyle w:val="Bodytext20"/>
        <w:widowControl/>
        <w:shd w:val="clear" w:color="auto" w:fill="auto"/>
        <w:spacing w:before="0" w:after="120" w:line="240" w:lineRule="auto"/>
        <w:ind w:firstLine="0"/>
        <w:jc w:val="both"/>
      </w:pPr>
      <w:r>
        <w:t xml:space="preserve">Jūsu pašu algotie klimata zinātnes eksperti piekrīt Klimata pārmaiņu starpvaldību padomes (</w:t>
      </w:r>
      <w:r>
        <w:rPr>
          <w:i/>
          <w:iCs/>
        </w:rPr>
        <w:t xml:space="preserve">IPCC</w:t>
      </w:r>
      <w:r>
        <w:t xml:space="preserve">) vērtējumam par to, kādi ir klimata pārmaiņu radītie draudi.</w:t>
      </w:r>
      <w:r>
        <w:t xml:space="preserve"> </w:t>
      </w:r>
      <w:r>
        <w:t xml:space="preserve">Tomēr nepieciešamība ierobežot bīstamās klimata pārmaiņas jums ir jālīdzsvaro gan ar interesēm, kādas ir jums nozīmīgākajām ieinteresētajām personām, tostarp akcionāriem, darbiniekiem, sabiedrībai (jūsu klientiem), politikas veidotājiem, kas piešķir jums darbības atļauju, regulē jūsu nozari un ietekmē jūsu saimnieciskās darbības izmaksas, gan ar jūsu kā šo uzņēmumu vadītāju personīgajām finansiālajām interesēm.</w:t>
      </w:r>
    </w:p>
    <w:p w:rsidRPr="00017A78" w:rsidR="00EA7CFD" w:rsidP="00017A78" w:rsidRDefault="00061DF7">
      <w:pPr>
        <w:pStyle w:val="Bodytext20"/>
        <w:widowControl/>
        <w:shd w:val="clear" w:color="auto" w:fill="auto"/>
        <w:spacing w:before="0" w:after="120" w:line="240" w:lineRule="auto"/>
        <w:ind w:firstLine="0"/>
        <w:jc w:val="both"/>
      </w:pPr>
      <w:r>
        <w:t xml:space="preserve">Tradicionālie enerģijas avoti, tostarp fosilais kurināmais un kodolenerģija, nodrošina vairāk nekā 95 % no pasaulei vajadzīgās enerģijas.</w:t>
      </w:r>
      <w:r>
        <w:t xml:space="preserve"> </w:t>
      </w:r>
      <w:r>
        <w:t xml:space="preserve">Jūsu nozare tikai apmierina patērētāju vēlmes, un jūsu nozari nedrīkst vainot vai sodīt par klimata pārmaiņām.</w:t>
      </w:r>
      <w:r>
        <w:t xml:space="preserve"> </w:t>
      </w:r>
      <w:r>
        <w:t xml:space="preserve">Fosilā kurināmā izmantošanas ierobežošana var īstermiņā paaugstināt izmaksas, kas jāsedz patērētājiem un tautsaimniecībai.</w:t>
      </w:r>
      <w:r>
        <w:t xml:space="preserve"> </w:t>
      </w:r>
      <w:r>
        <w:t xml:space="preserve">Vairumā pasaules valstu jau ir izveidota fosilā kurināmā infrastruktūra, un daudzās jaunattīstības valstīs joprojām tiek strauji veidota jauna infrastruktūra fosilās enerģijas izmantošanai.</w:t>
      </w:r>
      <w:r>
        <w:t xml:space="preserve"> </w:t>
      </w:r>
      <w:r>
        <w:t xml:space="preserve">Atjaunojamie energoresursi, piemēram, vējš un saule, ir periodiski un vēl nespēj nodrošināt pasaules tautsaimniecībai vajadzīgo enerģiju.</w:t>
      </w:r>
      <w:r>
        <w:t xml:space="preserve"> </w:t>
      </w:r>
      <w:r>
        <w:t xml:space="preserve">Jūs uzskatāt, ka fosilais kurināmais ir būtisks, lai novērstu enerģētisko nabadzību un veicinātu ekonomikas izaugsmi, it īpaši jaunattīstības valstīs.</w:t>
      </w:r>
      <w:r>
        <w:t xml:space="preserve"> </w:t>
      </w:r>
      <w:r>
        <w:t xml:space="preserve">Nepieļaujiet, ka vides aktīvisti jūs dēvē par cilvēkiem, kam nerūp sociālais taisnīgums.</w:t>
      </w:r>
    </w:p>
    <w:p w:rsidRPr="00017A78" w:rsidR="00EA7CFD" w:rsidP="00017A78" w:rsidRDefault="00061DF7">
      <w:pPr>
        <w:pStyle w:val="Bodytext20"/>
        <w:widowControl/>
        <w:shd w:val="clear" w:color="auto" w:fill="auto"/>
        <w:spacing w:before="0" w:after="120" w:line="240" w:lineRule="auto"/>
        <w:ind w:firstLine="0"/>
        <w:jc w:val="both"/>
      </w:pPr>
      <w:r>
        <w:t xml:space="preserve">Fosilā kurināmā ražotāji, tostarp ogļu, naftas un gāzes uzņēmumi, saskarsies ar nopietnām finansiālām grūtībām, ja tiks īstenoti politikas pasākumi, kuru mērķis ir ierobežot sasilšanu līdz aptuveni 2°C. Uzņēmumiem, kas ir atkarīgi no fosilā kurināmā, būs jāatrod jauns uzņēmējdarbības modelis vai jāizbeidz sava darbība.</w:t>
      </w:r>
      <w:r>
        <w:t xml:space="preserve"> </w:t>
      </w:r>
      <w:r>
        <w:t xml:space="preserve">Sasilšanas ierobežošana līdz 2°C nozīmē, ka lielai daļai no zināmajiem fosilā kurināmā resursiem būs jāpaliek zemē un tie kļūs par balasta aktīviem, kuri nerada peļņu akcionāriem vai valdībām.</w:t>
      </w:r>
      <w:r>
        <w:t xml:space="preserve"> </w:t>
      </w:r>
      <w:r>
        <w:t xml:space="preserve">Nāksies likvidēt daudz darbvietu.</w:t>
      </w:r>
    </w:p>
    <w:p w:rsidRPr="00017A78" w:rsidR="00EA7CFD" w:rsidP="00017A78" w:rsidRDefault="00061DF7">
      <w:pPr>
        <w:pStyle w:val="Bodytext20"/>
        <w:widowControl/>
        <w:shd w:val="clear" w:color="auto" w:fill="auto"/>
        <w:spacing w:before="0" w:after="120" w:line="240" w:lineRule="auto"/>
        <w:ind w:firstLine="0"/>
        <w:jc w:val="both"/>
      </w:pPr>
      <w:r>
        <w:t xml:space="preserve">Vienlaikus jūs zināt, ka globālās emisijas ir jāsamazina, lai izvairītos no ļaunākajām klimata pārmaiņu sekām.</w:t>
      </w:r>
      <w:r>
        <w:t xml:space="preserve"> </w:t>
      </w:r>
      <w:r>
        <w:t xml:space="preserve">Jūras līmeņa paaugstināšanās, ekstrēmāki laikapstākļi un to izraisītās ģeopolitiskās problēmas nopietni apdraud pieejamos energoapgādes aktīvus un pasaules ekonomiku.</w:t>
      </w:r>
      <w:r>
        <w:t xml:space="preserve"> </w:t>
      </w:r>
      <w:r>
        <w:t xml:space="preserve">Klimata pārmaiņu radīto zaudējumu pieaugums arī palielina iespējamību, ka tiks īstenoti ārkārtēji politikas pasākumi un pieņemti noteikumi, kas kaitēs fosilā kurināmā ražošanas nozarei.</w:t>
      </w:r>
      <w:r>
        <w:t xml:space="preserve"> </w:t>
      </w:r>
      <w:r>
        <w:t xml:space="preserve">Kaut arī jūs cenšaties nepieļaut šādu politiku un regulējumu, jums ir arī jāapsver, kā jūs varētu izmantot savu infrastruktūru, finanšu kapitālu un zināšanas, lai pasaulē, kas arvien vairāk sasilst, saglabātu konkurētspēju un izdzīvotu.</w:t>
      </w:r>
    </w:p>
    <w:p w:rsidRPr="00017A78" w:rsidR="00934588" w:rsidP="00017A78" w:rsidRDefault="00934588">
      <w:pPr>
        <w:pStyle w:val="Bodytext20"/>
        <w:widowControl/>
        <w:shd w:val="clear" w:color="auto" w:fill="auto"/>
        <w:spacing w:before="0" w:after="120" w:line="240" w:lineRule="auto"/>
        <w:ind w:firstLine="0"/>
        <w:jc w:val="both"/>
        <w:rPr>
          <w:lang w:val="en-GB"/>
        </w:rPr>
      </w:pPr>
    </w:p>
    <w:p w:rsidRPr="00017A78" w:rsidR="00934588" w:rsidP="00017A78" w:rsidRDefault="00934588">
      <w:pPr>
        <w:widowControl/>
        <w:jc w:val="center"/>
      </w:pPr>
      <w:r>
        <w:t xml:space="preserve">_____________</w:t>
      </w:r>
    </w:p>
    <w:p w:rsidRPr="00B75ADD" w:rsidR="00934588" w:rsidRDefault="00934588">
      <w:pPr>
        <w:pStyle w:val="Bodytext20"/>
        <w:widowControl/>
        <w:shd w:val="clear" w:color="auto" w:fill="auto"/>
        <w:spacing w:before="0" w:after="120" w:line="240" w:lineRule="auto"/>
        <w:ind w:firstLine="0"/>
        <w:jc w:val="both"/>
        <w:rPr>
          <w:lang w:val="en-GB"/>
        </w:rPr>
      </w:pPr>
    </w:p>
    <w:sectPr w:rsidRPr="00B75ADD" w:rsidR="00934588"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588" w:rsidRPr="00934588" w:rsidRDefault="00934588" w:rsidP="00934588">
    <w:pPr>
      <w:pStyle w:val="Footer"/>
      <w:spacing w:line="240" w:lineRule="auto"/>
      <w:rPr>
        <w:i/>
        <w:sz w:val="20"/>
        <w:szCs w:val="20"/>
      </w:rPr>
    </w:pPr>
    <w:r>
      <w:rPr>
        <w:i/>
        <w:sz w:val="20"/>
        <w:szCs w:val="20"/>
      </w:rPr>
      <w:t xml:space="preserve">Izstrādātāji: Climate Interactive, MIT Sloan School of Management Sustainability Initiative, ESB Business School un UMass Lowell Climate Change Initiative.</w:t>
    </w:r>
    <w:r>
      <w:rPr>
        <w:i/>
        <w:sz w:val="20"/>
        <w:szCs w:val="20"/>
      </w:rPr>
      <w:t xml:space="preserve"> </w:t>
    </w:r>
    <w:r>
      <w:rPr>
        <w:i/>
        <w:sz w:val="20"/>
        <w:szCs w:val="20"/>
      </w:rPr>
      <w:t xml:space="preserve">Pēdējo reizi atjaunināts 2019. gada septembrī.</w:t>
    </w:r>
    <w:r>
      <w:rPr>
        <w:i/>
        <w:sz w:val="20"/>
        <w:szCs w:val="20"/>
      </w:rPr>
      <w:t xml:space="preserve"> </w:t>
    </w:r>
    <w:hyperlink r:id="rId1" w:history="1">
      <w:r>
        <w:rPr>
          <w:rStyle w:val="Hyperlink"/>
          <w:i/>
          <w:sz w:val="20"/>
          <w:szCs w:val="20"/>
        </w:rPr>
        <w:t xml:space="preserve">www.cllmatelnteractlve.org</w:t>
      </w:r>
    </w:hyperlink>
    <w:r>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934588"/>
    <w:rsid w:val="00941B40"/>
    <w:rsid w:val="009C54B9"/>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lv-LV"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CTJJHAUHWN5E-644613129-2873</_dlc_DocId>
    <_dlc_DocIdUrl xmlns="bfc960a6-20da-4c94-8684-71380fca093b">
      <Url>http://dm2016/eesc/2019/_layouts/15/DocIdRedir.aspx?ID=CTJJHAUHWN5E-644613129-2873</Url>
      <Description>CTJJHAUHWN5E-644613129-2873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72</Value>
      <Value>246</Value>
      <Value>65</Value>
      <Value>64</Value>
      <Value>63</Value>
      <Value>62</Value>
      <Value>60</Value>
      <Value>59</Value>
      <Value>58</Value>
      <Value>56</Value>
      <Value>55</Value>
      <Value>52</Value>
      <Value>49</Value>
      <Value>48</Value>
      <Value>46</Value>
      <Value>45</Value>
      <Value>154</Value>
      <Value>38</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FC9D80-C862-4D35-B937-046EB4D34227}"/>
</file>

<file path=customXml/itemProps2.xml><?xml version="1.0" encoding="utf-8"?>
<ds:datastoreItem xmlns:ds="http://schemas.openxmlformats.org/officeDocument/2006/customXml" ds:itemID="{EA7D67A3-D629-4650-BA78-FB882B328574}"/>
</file>

<file path=customXml/itemProps3.xml><?xml version="1.0" encoding="utf-8"?>
<ds:datastoreItem xmlns:ds="http://schemas.openxmlformats.org/officeDocument/2006/customXml" ds:itemID="{A763A6CC-4243-4CA2-8008-F4FB771CC3EB}"/>
</file>

<file path=customXml/itemProps4.xml><?xml version="1.0" encoding="utf-8"?>
<ds:datastoreItem xmlns:ds="http://schemas.openxmlformats.org/officeDocument/2006/customXml" ds:itemID="{1DA1E79C-1FE1-460B-A008-7A2D52ADE717}"/>
</file>

<file path=docProps/app.xml><?xml version="1.0" encoding="utf-8"?>
<Properties xmlns="http://schemas.openxmlformats.org/officeDocument/2006/extended-properties" xmlns:vt="http://schemas.openxmlformats.org/officeDocument/2006/docPropsVTypes">
  <Template>Styles</Template>
  <TotalTime>1</TotalTime>
  <Pages>1</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II grupa - Tradicionālā energoapgāde</dc:title>
  <cp:keywords>EESC-2019-05163-01-00-INFO-TRA-EN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2019-11-15T07:09:00Z</dcterms:created>
  <dcterms:modified xsi:type="dcterms:W3CDTF">2019-11-15T07:11:00Z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47ca56b6-3691-4499-a07d-a328224f219d</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65;#ET|ff6c3f4c-b02c-4c3c-ab07-2c37995a7a0a;#46;#CS|72f9705b-0217-4fd3-bea2-cbc7ed80e26e;#48;#LT|a7ff5ce7-6123-4f68-865a-a57c31810414;#64;#PT|50ccc04a-eadd-42ae-a0cb-acaf45f812ba;#72;#GA|762d2456-c427-4ecb-b312-af3dad8e258c;#45;#NL|55c6556c-b4f4-441d-9acf-c498d4f838bd;#10;#FR|d2afafd3-4c81-4f60-8f52-ee33f2f54ff3;#162;#TR|6e4ededd-04c4-4fa0-94e0-1028050302d5;#60;#HU|6b229040-c589-4408-b4c1-4285663d20a8;#63;#MT|7df99101-6854-4a26-b53a-b88c0da02c26;#58;#LV|46f7e311-5d9f-4663-b433-18aeccb7ace7;#52;#DA|5d49c027-8956-412b-aa16-e85a0f96ad0e;#14;#DE|f6b31e5a-26fa-4935-b661-318e46daf27e;#17;#ES|e7a6b05b-ae16-40c8-add9-68b64b03aeba;#246;#ME|925b3da5-5ac0-4b3c-928c-6ef66a5c9b3c;#59;#HR|2f555653-ed1a-4fe6-8362-9082d95989e5;#153;#SR|7f3a1d13-b985-4bfd-981e-afe31377edff;#16;#PL|1e03da61-4678-4e07-b136-b5024ca9197b;#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2019-12-10T12:00:00Z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162;#TR|6e4ededd-04c4-4fa0-94e0-1028050302d5;#246;#ME|925b3da5-5ac0-4b3c-928c-6ef66a5c9b3c;#154;#SQ|5ac17240-8d11-45ec-9893-659b209d7a00;#64;#PT|50ccc04a-eadd-42ae-a0cb-acaf45f812ba;#63;#MT|7df99101-6854-4a26-b53a-b88c0da02c26;#62;#FI|87606a43-d45f-42d6-b8c9-e1a3457db5b7;#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26" name="DocumentLanguage_0">
    <vt:lpwstr>LV|46f7e311-5d9f-4663-b433-18aeccb7ace7</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11384</vt:i4>
  </property>
  <property fmtid="{D5CDD505-2E9C-101B-9397-08002B2CF9AE}" pid="32" name="DocumentPart">
    <vt:i4>1</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58;#LV|46f7e311-5d9f-4663-b433-18aeccb7ace7</vt:lpwstr>
  </property>
  <property fmtid="{D5CDD505-2E9C-101B-9397-08002B2CF9AE}" pid="3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TR|6e4ededd-04c4-4fa0-94e0-1028050302d5;MT|7df99101-6854-4a26-b53a-b88c0da02c26;LV|46f7e311-5d9f-4663-b433-18aeccb7ace7;DA|5d49c027-8956-412b-aa16-e85a0f96ad0e;ES|e7a6b05b-ae16-40c8-add9-68b64b03aeba;ME|925b3da5-5ac0-4b3c-928c-6ef66a5c9b3c;HR|2f555653-ed1a-4fe6-8362-9082d95989e5;SR|7f3a1d13-b985-4bfd-981e-afe31377edff;PL|1e03da61-4678-4e07-b136-b5024ca9197b;EN|f2175f21-25d7-44a3-96da-d6a61b075e1b;SQ|5ac17240-8d11-45ec-9893-659b209d7a00;SL|98a412ae-eb01-49e9-ae3d-585a81724cfc</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